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textAlignment w:val="auto"/>
        <w:rPr>
          <w:sz w:val="32"/>
        </w:rPr>
      </w:pPr>
      <w:r>
        <w:rPr>
          <w:sz w:val="32"/>
        </w:rPr>
        <mc:AlternateContent>
          <mc:Choice Requires="wps">
            <w:drawing>
              <wp:anchor distT="0" distB="0" distL="114300" distR="114300" simplePos="0" relativeHeight="251658240" behindDoc="0" locked="0" layoutInCell="1" allowOverlap="1">
                <wp:simplePos x="0" y="0"/>
                <wp:positionH relativeFrom="page">
                  <wp:posOffset>875665</wp:posOffset>
                </wp:positionH>
                <wp:positionV relativeFrom="margin">
                  <wp:posOffset>-5080</wp:posOffset>
                </wp:positionV>
                <wp:extent cx="5579745" cy="7200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79745" cy="720090"/>
                        </a:xfrm>
                        <a:prstGeom prst="rect">
                          <a:avLst/>
                        </a:prstGeom>
                        <a:noFill/>
                        <a:ln w="9525">
                          <a:noFill/>
                        </a:ln>
                        <a:effectLst/>
                      </wps:spPr>
                      <wps:txbx>
                        <w:txbxContent>
                          <w:p>
                            <w:pPr>
                              <w:jc w:val="center"/>
                              <w:rPr>
                                <w:rFonts w:ascii="黑体" w:hAnsi="黑体" w:eastAsia="黑体" w:cs="黑体"/>
                                <w:snapToGrid w:val="0"/>
                                <w:color w:val="FF0000"/>
                                <w:sz w:val="84"/>
                                <w:szCs w:val="84"/>
                              </w:rPr>
                            </w:pPr>
                            <w:r>
                              <w:rPr>
                                <w:rFonts w:hint="eastAsia" w:ascii="黑体" w:hAnsi="黑体" w:eastAsia="黑体" w:cs="黑体"/>
                                <w:b/>
                                <w:snapToGrid w:val="0"/>
                                <w:color w:val="FF0000"/>
                                <w:sz w:val="84"/>
                                <w:szCs w:val="84"/>
                              </w:rPr>
                              <w:t>湖南省标识行业协会</w:t>
                            </w:r>
                          </w:p>
                        </w:txbxContent>
                      </wps:txbx>
                      <wps:bodyPr lIns="0" tIns="0" rIns="0" bIns="0" upright="1"/>
                    </wps:wsp>
                  </a:graphicData>
                </a:graphic>
              </wp:anchor>
            </w:drawing>
          </mc:Choice>
          <mc:Fallback>
            <w:pict>
              <v:shape id="_x0000_s1026" o:spid="_x0000_s1026" o:spt="202" type="#_x0000_t202" style="position:absolute;left:0pt;margin-left:68.95pt;margin-top:-0.4pt;height:56.7pt;width:439.35pt;mso-position-horizontal-relative:page;mso-position-vertical-relative:margin;z-index:251658240;mso-width-relative:page;mso-height-relative:page;" filled="f" stroked="f" coordsize="21600,21600" o:gfxdata="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6CB3NcA&#10;AAAKAQAADwAAAAAAAAABACAAAAAiAAAAZHJzL2Rvd25yZXYueG1sUEsBAhQAFAAAAAgAh07iQBxl&#10;kNuuAQAAOwMAAA4AAAAAAAAAAQAgAAAAJgEAAGRycy9lMm9Eb2MueG1sUEsFBgAAAAAGAAYAWQEA&#10;AEYFAAAAAA==&#10;">
                <v:fill on="f" focussize="0,0"/>
                <v:stroke on="f"/>
                <v:imagedata o:title=""/>
                <o:lock v:ext="edit" aspectratio="f"/>
                <v:textbox inset="0mm,0mm,0mm,0mm">
                  <w:txbxContent>
                    <w:p>
                      <w:pPr>
                        <w:jc w:val="center"/>
                        <w:rPr>
                          <w:rFonts w:ascii="黑体" w:hAnsi="黑体" w:eastAsia="黑体" w:cs="黑体"/>
                          <w:snapToGrid w:val="0"/>
                          <w:color w:val="FF0000"/>
                          <w:sz w:val="84"/>
                          <w:szCs w:val="84"/>
                        </w:rPr>
                      </w:pPr>
                      <w:r>
                        <w:rPr>
                          <w:rFonts w:hint="eastAsia" w:ascii="黑体" w:hAnsi="黑体" w:eastAsia="黑体" w:cs="黑体"/>
                          <w:b/>
                          <w:snapToGrid w:val="0"/>
                          <w:color w:val="FF0000"/>
                          <w:sz w:val="84"/>
                          <w:szCs w:val="84"/>
                        </w:rPr>
                        <w:t>湖南省标识行业协会</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sz w:val="32"/>
        </w:rPr>
      </w:pPr>
      <w:r>
        <w:rPr>
          <w:sz w:val="32"/>
        </w:rPr>
        <mc:AlternateContent>
          <mc:Choice Requires="wps">
            <w:drawing>
              <wp:anchor distT="0" distB="0" distL="114300" distR="114300" simplePos="0" relativeHeight="251661312" behindDoc="0" locked="0" layoutInCell="1" allowOverlap="1">
                <wp:simplePos x="0" y="0"/>
                <wp:positionH relativeFrom="page">
                  <wp:posOffset>903605</wp:posOffset>
                </wp:positionH>
                <wp:positionV relativeFrom="margin">
                  <wp:posOffset>966470</wp:posOffset>
                </wp:positionV>
                <wp:extent cx="5579745" cy="19050"/>
                <wp:effectExtent l="0" t="13970" r="1905" b="24130"/>
                <wp:wrapNone/>
                <wp:docPr id="1" name="直接连接符 1"/>
                <wp:cNvGraphicFramePr/>
                <a:graphic xmlns:a="http://schemas.openxmlformats.org/drawingml/2006/main">
                  <a:graphicData uri="http://schemas.microsoft.com/office/word/2010/wordprocessingShape">
                    <wps:wsp>
                      <wps:cNvCnPr/>
                      <wps:spPr>
                        <a:xfrm>
                          <a:off x="0" y="0"/>
                          <a:ext cx="5579745" cy="1905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1.15pt;margin-top:76.1pt;height:1.5pt;width:439.35pt;mso-position-horizontal-relative:page;mso-position-vertical-relative:margin;z-index:251661312;mso-width-relative:page;mso-height-relative:page;" filled="f" stroked="t" coordsize="21600,21600" o:gfxdata="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f8L0zY&#10;AAAADAEAAA8AAAAAAAAAAQAgAAAAIgAAAGRycy9kb3ducmV2LnhtbFBLAQIUABQAAAAIAIdO4kDm&#10;ee8c5wEAAKkDAAAOAAAAAAAAAAEAIAAAACc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napToGrid w:val="0"/>
          <w:spacing w:val="0"/>
          <w:sz w:val="32"/>
          <w:szCs w:val="32"/>
          <w:lang w:val="en-US" w:eastAsia="zh-CN"/>
        </w:rPr>
      </w:pPr>
      <w:r>
        <w:rPr>
          <w:rFonts w:hint="eastAsia" w:ascii="仿宋_GB2312" w:hAnsi="仿宋_GB2312" w:eastAsia="仿宋_GB2312" w:cs="仿宋_GB2312"/>
          <w:snapToGrid w:val="0"/>
          <w:spacing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color w:val="363636"/>
          <w:spacing w:val="-20"/>
          <w:sz w:val="36"/>
          <w:szCs w:val="36"/>
        </w:rPr>
      </w:pPr>
      <w:r>
        <w:rPr>
          <w:rFonts w:hint="eastAsia" w:ascii="仿宋_GB2312" w:hAnsi="仿宋_GB2312" w:eastAsia="仿宋_GB2312" w:cs="仿宋_GB2312"/>
          <w:snapToGrid w:val="0"/>
          <w:spacing w:val="0"/>
          <w:sz w:val="32"/>
          <w:szCs w:val="32"/>
          <w:lang w:val="en-US" w:eastAsia="zh-CN"/>
        </w:rPr>
        <w:t xml:space="preserve">                              </w:t>
      </w:r>
      <w:r>
        <w:rPr>
          <w:rFonts w:hint="eastAsia" w:ascii="仿宋_GB2312" w:hAnsi="仿宋_GB2312" w:eastAsia="仿宋_GB2312" w:cs="仿宋_GB2312"/>
          <w:snapToGrid w:val="0"/>
          <w:spacing w:val="0"/>
          <w:sz w:val="32"/>
          <w:szCs w:val="32"/>
        </w:rPr>
        <w:t>湘标协〔20</w:t>
      </w:r>
      <w:r>
        <w:rPr>
          <w:rFonts w:hint="eastAsia" w:ascii="仿宋_GB2312" w:hAnsi="仿宋_GB2312" w:eastAsia="仿宋_GB2312" w:cs="仿宋_GB2312"/>
          <w:snapToGrid w:val="0"/>
          <w:spacing w:val="0"/>
          <w:sz w:val="32"/>
          <w:szCs w:val="32"/>
          <w:lang w:val="en-US" w:eastAsia="zh-CN"/>
        </w:rPr>
        <w:t>20</w:t>
      </w:r>
      <w:r>
        <w:rPr>
          <w:rFonts w:hint="eastAsia" w:ascii="仿宋_GB2312" w:hAnsi="仿宋_GB2312" w:eastAsia="仿宋_GB2312" w:cs="仿宋_GB2312"/>
          <w:snapToGrid w:val="0"/>
          <w:spacing w:val="0"/>
          <w:sz w:val="32"/>
          <w:szCs w:val="32"/>
        </w:rPr>
        <w:t>〕00</w:t>
      </w:r>
      <w:r>
        <w:rPr>
          <w:rFonts w:hint="eastAsia" w:ascii="仿宋_GB2312" w:hAnsi="仿宋_GB2312" w:eastAsia="仿宋_GB2312" w:cs="仿宋_GB2312"/>
          <w:snapToGrid w:val="0"/>
          <w:spacing w:val="0"/>
          <w:sz w:val="32"/>
          <w:szCs w:val="32"/>
          <w:lang w:val="en-US" w:eastAsia="zh-CN"/>
        </w:rPr>
        <w:t>4</w:t>
      </w:r>
      <w:r>
        <w:rPr>
          <w:rFonts w:hint="eastAsia" w:ascii="仿宋_GB2312" w:hAnsi="仿宋_GB2312" w:eastAsia="仿宋_GB2312" w:cs="仿宋_GB2312"/>
          <w:snapToGrid w:val="0"/>
          <w:spacing w:val="0"/>
          <w:sz w:val="32"/>
          <w:szCs w:val="32"/>
        </w:rPr>
        <w:t>号</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关于《湖南省标识行业协会自律公约实施细则》</w:t>
      </w:r>
    </w:p>
    <w:p>
      <w:pPr>
        <w:keepNext w:val="0"/>
        <w:keepLines w:val="0"/>
        <w:pageBreakBefore w:val="0"/>
        <w:widowControl w:val="0"/>
        <w:kinsoku/>
        <w:wordWrap/>
        <w:overflowPunct/>
        <w:topLinePunct w:val="0"/>
        <w:autoSpaceDE/>
        <w:autoSpaceDN/>
        <w:bidi w:val="0"/>
        <w:adjustRightInd/>
        <w:snapToGrid/>
        <w:spacing w:line="120" w:lineRule="auto"/>
        <w:ind w:firstLine="361" w:firstLineChars="1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（试行）的通知</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仿宋_GB2312" w:hAnsi="仿宋_GB2312" w:eastAsia="仿宋_GB2312" w:cs="仿宋_GB2312"/>
          <w:b/>
          <w:bCs/>
          <w:color w:val="363636"/>
          <w:kern w:val="2"/>
          <w:sz w:val="32"/>
          <w:szCs w:val="32"/>
          <w:lang w:val="en-US" w:eastAsia="zh-CN"/>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各会员单位：</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napToGrid w:val="0"/>
          <w:spacing w:val="0"/>
          <w:sz w:val="32"/>
          <w:szCs w:val="32"/>
          <w:lang w:eastAsia="zh-CN"/>
        </w:rPr>
      </w:pPr>
      <w:r>
        <w:rPr>
          <w:rFonts w:hint="eastAsia" w:ascii="仿宋_GB2312" w:hAnsi="仿宋_GB2312" w:eastAsia="仿宋_GB2312" w:cs="仿宋_GB2312"/>
          <w:snapToGrid w:val="0"/>
          <w:color w:val="auto"/>
          <w:spacing w:val="0"/>
          <w:kern w:val="2"/>
          <w:sz w:val="32"/>
          <w:szCs w:val="32"/>
          <w:lang w:val="en-US" w:eastAsia="zh-CN" w:bidi="ar-SA"/>
        </w:rPr>
        <w:t>为建立、健全湖南省标识行业自律机制、规范行业行为，维护本行业的社会声誉和会员单位的合法权益，促进企业的诚信建设，依法推进和保障全省行业健康、有序、快速地发展，根据《湖南省标识行业自律公约》特制定《湖南省标识行业协会自律公约实施细则》，（以下简称本细则），经2020年7月17日第二届第十次理事会议表决通过，现下发各会员单位，即日起参照试行，</w:t>
      </w:r>
      <w:r>
        <w:rPr>
          <w:rFonts w:hint="eastAsia" w:ascii="仿宋_GB2312" w:hAnsi="仿宋_GB2312" w:eastAsia="仿宋_GB2312" w:cs="仿宋_GB2312"/>
          <w:snapToGrid w:val="0"/>
          <w:spacing w:val="0"/>
          <w:sz w:val="32"/>
          <w:szCs w:val="32"/>
          <w:lang w:eastAsia="zh-CN"/>
        </w:rPr>
        <w:t>如对本细则有疑问可形成文字报秘书处。</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napToGrid w:val="0"/>
          <w:spacing w:val="0"/>
          <w:sz w:val="32"/>
          <w:szCs w:val="32"/>
          <w:lang w:eastAsia="zh-CN"/>
        </w:rPr>
      </w:pP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b w:val="0"/>
          <w:color w:val="000000"/>
          <w:spacing w:val="-17"/>
          <w:kern w:val="0"/>
          <w:sz w:val="30"/>
          <w:szCs w:val="30"/>
          <w:lang w:val="en-US" w:eastAsia="zh-CN" w:bidi="ar-SA"/>
        </w:rPr>
        <w:t>附：</w:t>
      </w:r>
      <w:r>
        <w:rPr>
          <w:rFonts w:hint="eastAsia" w:ascii="仿宋_GB2312" w:hAnsi="仿宋_GB2312" w:eastAsia="仿宋_GB2312" w:cs="仿宋_GB2312"/>
          <w:snapToGrid w:val="0"/>
          <w:color w:val="auto"/>
          <w:spacing w:val="0"/>
          <w:kern w:val="2"/>
          <w:sz w:val="32"/>
          <w:szCs w:val="32"/>
          <w:lang w:val="en-US" w:eastAsia="zh-CN" w:bidi="ar-SA"/>
        </w:rPr>
        <w:t>《湖南省标识行业协会自律公约实施细则》</w:t>
      </w:r>
    </w:p>
    <w:p>
      <w:pPr>
        <w:keepNext w:val="0"/>
        <w:keepLines w:val="0"/>
        <w:pageBreakBefore w:val="0"/>
        <w:kinsoku/>
        <w:wordWrap/>
        <w:overflowPunct/>
        <w:topLinePunct w:val="0"/>
        <w:autoSpaceDE/>
        <w:autoSpaceDN/>
        <w:bidi w:val="0"/>
        <w:adjustRightInd w:val="0"/>
        <w:snapToGrid/>
        <w:spacing w:line="360" w:lineRule="auto"/>
        <w:ind w:firstLine="3840" w:firstLineChars="1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drawing>
          <wp:anchor distT="0" distB="0" distL="114300" distR="114300" simplePos="0" relativeHeight="251666432" behindDoc="0" locked="0" layoutInCell="1" allowOverlap="1">
            <wp:simplePos x="0" y="0"/>
            <wp:positionH relativeFrom="column">
              <wp:posOffset>3196590</wp:posOffset>
            </wp:positionH>
            <wp:positionV relativeFrom="paragraph">
              <wp:posOffset>88900</wp:posOffset>
            </wp:positionV>
            <wp:extent cx="1600200" cy="1600200"/>
            <wp:effectExtent l="0" t="0" r="0" b="0"/>
            <wp:wrapNone/>
            <wp:docPr id="5" name="图片 5" descr="协会电子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协会电子印章"/>
                    <pic:cNvPicPr>
                      <a:picLocks noChangeAspect="1"/>
                    </pic:cNvPicPr>
                  </pic:nvPicPr>
                  <pic:blipFill>
                    <a:blip r:embed="rId4"/>
                    <a:stretch>
                      <a:fillRect/>
                    </a:stretch>
                  </pic:blipFill>
                  <pic:spPr>
                    <a:xfrm>
                      <a:off x="0" y="0"/>
                      <a:ext cx="1600200" cy="1600200"/>
                    </a:xfrm>
                    <a:prstGeom prst="rect">
                      <a:avLst/>
                    </a:prstGeom>
                  </pic:spPr>
                </pic:pic>
              </a:graphicData>
            </a:graphic>
          </wp:anchor>
        </w:drawing>
      </w:r>
    </w:p>
    <w:p>
      <w:pPr>
        <w:keepNext w:val="0"/>
        <w:keepLines w:val="0"/>
        <w:pageBreakBefore w:val="0"/>
        <w:kinsoku/>
        <w:wordWrap/>
        <w:overflowPunct/>
        <w:topLinePunct w:val="0"/>
        <w:autoSpaceDE/>
        <w:autoSpaceDN/>
        <w:bidi w:val="0"/>
        <w:adjustRightInd w:val="0"/>
        <w:snapToGrid/>
        <w:spacing w:line="360" w:lineRule="auto"/>
        <w:ind w:firstLine="4800" w:firstLineChars="15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 xml:space="preserve">湖南省标识行业协会 </w:t>
      </w:r>
    </w:p>
    <w:p>
      <w:pPr>
        <w:pStyle w:val="4"/>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0" w:firstLineChars="1500"/>
        <w:jc w:val="both"/>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 xml:space="preserve">二○二○年七月二十日 </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湖南省标识行业协会</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《自律公约》实施细则</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auto"/>
          <w:sz w:val="28"/>
          <w:szCs w:val="28"/>
          <w:lang w:val="en-US" w:eastAsia="zh-CN"/>
        </w:rPr>
        <w:t>（试行）</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为了维护行业内有序竞争、合作共享的和谐局面，及时处理行业内争议，保护遵法守信企业，对严重违背诚信企业进行惩戒，根据</w:t>
      </w:r>
      <w:r>
        <w:rPr>
          <w:rFonts w:hint="eastAsia" w:ascii="宋体" w:hAnsi="宋体" w:eastAsia="宋体" w:cs="宋体"/>
          <w:color w:val="auto"/>
          <w:kern w:val="0"/>
          <w:sz w:val="28"/>
          <w:szCs w:val="28"/>
        </w:rPr>
        <w:t>湖南省标识行业</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自律公约</w:t>
      </w:r>
      <w:r>
        <w:rPr>
          <w:rFonts w:hint="eastAsia" w:ascii="宋体" w:hAnsi="宋体" w:eastAsia="宋体" w:cs="宋体"/>
          <w:b w:val="0"/>
          <w:bCs w:val="0"/>
          <w:sz w:val="28"/>
          <w:szCs w:val="28"/>
          <w:lang w:val="en-US" w:eastAsia="zh-CN"/>
        </w:rPr>
        <w:t>》制定本细则（以下简称“细则”）：</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内部争议处理办法</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第一条 本“办法”适用于协会会员之间或者会员单位与非会员单位之间发生的争议事项处理。</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第二条 协会应经常向各会员单位宣讲国家有关的法律、法规、政策，向政府有关部门反映会员单位的合理诉求，接受会员企业在经营管理中出现争议时提出的调解诉求，积极出面协调处理。</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第三条 协会处理会员单位争议事项，应以事实为依据，以法律为准绳，尊重当事人的平等地位。</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第四条 协会受理行业内的下列争议事项：</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（一）对违反行业《自律公约》的投诉；</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（二）企业交易过程中发生的争议。</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第五条 争议处理方式：</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（一）发生争议时，争议各方应本着互谅互让的原则，争取协商解决；</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（二）协商不成时，双方或单方可以申请协会出面主持调解；</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（三）调解不成时，双方或单方可以通过法律途径解决。</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第六条 处理办法</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会员单位违反《自律公约》的，任何单位和个人均有权及时向协会进行反映和投诉，申请协会调查核实，对违规违约的现象按情节轻重处理如下：</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（一）批评教育，阻止违规违约行为，并责令其限期改正；</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（二）采取协会内部通报批评；</w:t>
      </w:r>
    </w:p>
    <w:p>
      <w:pPr>
        <w:pStyle w:val="3"/>
        <w:ind w:firstLine="560" w:firstLineChars="200"/>
        <w:rPr>
          <w:color w:val="auto"/>
        </w:rPr>
      </w:pPr>
      <w:r>
        <w:rPr>
          <w:rFonts w:hint="eastAsia" w:ascii="宋体" w:hAnsi="宋体" w:eastAsia="宋体" w:cs="宋体"/>
          <w:b w:val="0"/>
          <w:bCs w:val="0"/>
          <w:sz w:val="28"/>
          <w:szCs w:val="28"/>
          <w:lang w:val="en-US" w:eastAsia="zh-CN"/>
        </w:rPr>
        <w:t>（三）对于屡次违约、情节严重的经营企业报会长办公会议通过后中止其会员资格，公布其违规行为，中止期内</w:t>
      </w:r>
      <w:r>
        <w:rPr>
          <w:rFonts w:hint="eastAsia" w:ascii="宋体" w:hAnsi="宋体" w:eastAsia="宋体" w:cs="宋体"/>
          <w:b w:val="0"/>
          <w:bCs w:val="0"/>
          <w:color w:val="auto"/>
          <w:sz w:val="28"/>
          <w:szCs w:val="28"/>
          <w:lang w:val="en-US" w:eastAsia="zh-CN"/>
        </w:rPr>
        <w:t>不能参加协会举办的任何活动。</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default"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36"/>
          <w:szCs w:val="36"/>
          <w:lang w:val="en-US" w:eastAsia="zh-CN"/>
        </w:rPr>
        <w:t>行业诚信自律奖惩办法</w:t>
      </w:r>
    </w:p>
    <w:p>
      <w:pPr>
        <w:keepNext w:val="0"/>
        <w:keepLines w:val="0"/>
        <w:pageBreakBefore w:val="0"/>
        <w:widowControl w:val="0"/>
        <w:kinsoku/>
        <w:wordWrap/>
        <w:overflowPunct/>
        <w:topLinePunct w:val="0"/>
        <w:autoSpaceDE/>
        <w:autoSpaceDN/>
        <w:bidi w:val="0"/>
        <w:adjustRightInd/>
        <w:snapToGrid/>
        <w:spacing w:line="12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第一条、遵守法律法规，强化责任意识。</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坚持质量第一、诚信至上、社会责任优先的原则。 </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uto"/>
        <w:ind w:left="56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规范生产管理，确保产品质量。</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切实履行生产质量管理规范，制定完善管理制度，健全机构人员配置，严把原材料入场关，严守生产操作规程，真实填写生产记录。确保产品质量安全，杜绝不合格产品进入市场。 </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uto"/>
        <w:ind w:left="56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规范经营行为，销售合格产品。</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严格控制产品购销流程，严把采购产品质量关，建立完整购销记录，确保售出产品可追溯；不销售伪劣产品；所售产品发生质量问题及时向行业主管部门报告。 </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uto"/>
        <w:ind w:left="560" w:leftChars="0" w:firstLine="0" w:firstLineChars="0"/>
        <w:jc w:val="both"/>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诚实守信，公平竞争。</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color w:val="auto"/>
          <w:kern w:val="0"/>
          <w:sz w:val="28"/>
          <w:szCs w:val="28"/>
        </w:rPr>
        <w:t>不破坏行业正常的市场秩序，不贬损同业企业和从业者，抵制不正当竞争行为</w:t>
      </w: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rPr>
        <w:t>不偷工减料，不搞价格欺诈</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质量第一，客户至上。接受社会监督，维护行业声誉。</w:t>
      </w:r>
      <w:r>
        <w:rPr>
          <w:rFonts w:hint="eastAsia" w:ascii="宋体" w:hAnsi="宋体" w:eastAsia="宋体" w:cs="宋体"/>
          <w:b w:val="0"/>
          <w:bCs w:val="0"/>
          <w:sz w:val="28"/>
          <w:szCs w:val="28"/>
          <w:lang w:val="en-US" w:eastAsia="zh-CN"/>
        </w:rPr>
        <w:t> </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uto"/>
        <w:ind w:left="56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完善服务体系，提供优质服务。</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真实、科学、准确地进行企业服务、产品宣传，诚实守信，不弄虚作假，不误导客户。</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uto"/>
        <w:ind w:left="56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倡导自主创新，尊重知识产权。</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尊重他人知识产权，不侵犯、不盗用他人专利技术；不仿冒、不盗用他人商标、产品标识和外观设计。对盗用他人知识产权的企业记入协会严重失信企业。 </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uto"/>
        <w:ind w:left="56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完善自律机制，自觉接受监督。</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建立和完善现代企业管理制度，不断提升企业法人治理水平，服从行业主管部门的管理，形成完备的企业自律约束机制；自觉接受社会各界的监督。 </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uto"/>
        <w:ind w:left="56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褒奖诚信企业，惩处失信行为。</w:t>
      </w:r>
    </w:p>
    <w:p>
      <w:pPr>
        <w:pStyle w:val="3"/>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经协会评为“诚信企业”者，授予奖牌证书，并在协会内刊、网站上刊登其诚信事迹。对有失信违法行为的企业、有严重失信的企业负责人记入协会“黑名单”，不允许担任协会任何职务，并在协会内部进行通报。对于屡次违约、情节严重的经营企业报会长办公会议通过后中止其会员资格，中止期内不能参加协会举办的任何活动。</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本“细则”由湖南省标识行业协会负责解释。</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本“细则”经协会理事会讨论通过，自发布之日</w:t>
      </w:r>
      <w:r>
        <w:rPr>
          <w:rFonts w:hint="eastAsia" w:ascii="宋体" w:hAnsi="宋体" w:eastAsia="宋体" w:cs="宋体"/>
          <w:b w:val="0"/>
          <w:bCs w:val="0"/>
          <w:sz w:val="28"/>
          <w:szCs w:val="28"/>
          <w:u w:val="single"/>
          <w:lang w:val="en-US" w:eastAsia="zh-CN"/>
        </w:rPr>
        <w:t>2020年7月20日</w:t>
      </w:r>
      <w:r>
        <w:rPr>
          <w:rFonts w:hint="eastAsia" w:ascii="宋体" w:hAnsi="宋体" w:eastAsia="宋体" w:cs="宋体"/>
          <w:b w:val="0"/>
          <w:bCs w:val="0"/>
          <w:sz w:val="28"/>
          <w:szCs w:val="28"/>
          <w:lang w:val="en-US" w:eastAsia="zh-CN"/>
        </w:rPr>
        <w:t>起执行。</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bookmarkStart w:id="0" w:name="_GoBack"/>
      <w:bookmarkEnd w:id="0"/>
      <w:r>
        <w:rPr>
          <w:rFonts w:hint="eastAsia" w:ascii="宋体" w:hAnsi="宋体" w:eastAsia="宋体" w:cs="宋体"/>
          <w:b w:val="0"/>
          <w:bCs w:val="0"/>
          <w:sz w:val="28"/>
          <w:szCs w:val="28"/>
          <w:lang w:val="en-US" w:eastAsia="zh-CN"/>
        </w:rPr>
        <w:t xml:space="preserve">   湖南省标识行业协会</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二0年二0年七月二十日</w:t>
      </w:r>
    </w:p>
    <w:p>
      <w:pPr>
        <w:pStyle w:val="4"/>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0" w:firstLineChars="1500"/>
        <w:jc w:val="both"/>
        <w:textAlignment w:val="auto"/>
        <w:rPr>
          <w:rFonts w:hint="eastAsia" w:ascii="仿宋_GB2312" w:hAnsi="仿宋_GB2312" w:eastAsia="仿宋_GB2312" w:cs="仿宋_GB2312"/>
          <w:snapToGrid w:val="0"/>
          <w:color w:val="auto"/>
          <w:spacing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DBA18"/>
    <w:multiLevelType w:val="singleLevel"/>
    <w:tmpl w:val="6B5DBA18"/>
    <w:lvl w:ilvl="0" w:tentative="0">
      <w:start w:val="2"/>
      <w:numFmt w:val="chineseCounting"/>
      <w:suff w:val="nothing"/>
      <w:lvlText w:val="第%1条、"/>
      <w:lvlJc w:val="left"/>
      <w:pPr>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274E4"/>
    <w:rsid w:val="095274E4"/>
    <w:rsid w:val="5C060914"/>
    <w:rsid w:val="7E90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1621</Words>
  <Characters>1634</Characters>
  <Lines>0</Lines>
  <Paragraphs>0</Paragraphs>
  <TotalTime>10</TotalTime>
  <ScaleCrop>false</ScaleCrop>
  <LinksUpToDate>false</LinksUpToDate>
  <CharactersWithSpaces>1758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2020-07-21T01:51:00Z</dcterms:created>
  <dc:creator>Administrator</dc:creator>
  <cp:lastModifiedBy>秘书处小邬</cp:lastModifiedBy>
  <dcterms:modified xsi:type="dcterms:W3CDTF">2020-07-21T02:23:22Z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